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BA1" w:rsidRPr="00A17E68" w:rsidRDefault="007C5BA1" w:rsidP="00912FF8">
      <w:pPr>
        <w:spacing w:line="240" w:lineRule="auto"/>
        <w:jc w:val="both"/>
        <w:rPr>
          <w:b/>
          <w:lang w:val="sr-Latn-RS"/>
        </w:rPr>
      </w:pPr>
      <w:bookmarkStart w:id="0" w:name="_GoBack"/>
      <w:bookmarkEnd w:id="0"/>
    </w:p>
    <w:p w:rsidR="007C5BA1" w:rsidRDefault="005D28C2" w:rsidP="00912FF8">
      <w:pPr>
        <w:spacing w:line="240" w:lineRule="auto"/>
        <w:jc w:val="both"/>
        <w:rPr>
          <w:b/>
          <w:lang w:val="sr-Latn-RS"/>
        </w:rPr>
      </w:pPr>
      <w:r w:rsidRPr="00A17E68">
        <w:rPr>
          <w:b/>
          <w:lang w:val="sr-Latn-RS"/>
        </w:rPr>
        <w:t>СТАВ</w:t>
      </w:r>
      <w:r w:rsidR="00912FF8">
        <w:rPr>
          <w:b/>
          <w:lang w:val="sr-Cyrl-RS"/>
        </w:rPr>
        <w:t xml:space="preserve"> АКАДЕМИЈЕ ИНЖЕЊЕРСКИХ НАУКА СРБИЈЕ (АИНС)</w:t>
      </w:r>
      <w:r w:rsidRPr="00A17E68">
        <w:rPr>
          <w:b/>
          <w:lang w:val="sr-Latn-RS"/>
        </w:rPr>
        <w:t xml:space="preserve"> О ПОТРЕБИ П</w:t>
      </w:r>
      <w:r w:rsidR="0091407F" w:rsidRPr="00A17E68">
        <w:rPr>
          <w:b/>
          <w:lang w:val="sr-Latn-RS"/>
        </w:rPr>
        <w:t xml:space="preserve">РЕИСПИТИВАЊА ПОСТОЈЕЋИХ РЕШЕЊА У ОБЛАСТИ ЗАТВАРАЊА ИСТОРИЈСКИХ ДЕПОНИЈА </w:t>
      </w:r>
      <w:r w:rsidRPr="00A17E68">
        <w:rPr>
          <w:b/>
          <w:lang w:val="sr-Latn-RS"/>
        </w:rPr>
        <w:t>У ФУНКЦИЈИ ЗАШТИТЕ ЖИВОТНЕ СРЕДИНЕ</w:t>
      </w:r>
    </w:p>
    <w:p w:rsidR="0041322D" w:rsidRDefault="0041322D" w:rsidP="0041322D">
      <w:pPr>
        <w:spacing w:after="0" w:line="240" w:lineRule="auto"/>
        <w:jc w:val="center"/>
        <w:rPr>
          <w:b/>
          <w:lang w:val="sr-Cyrl-RS"/>
        </w:rPr>
      </w:pPr>
      <w:r w:rsidRPr="0041322D">
        <w:rPr>
          <w:b/>
          <w:lang w:val="sr-Cyrl-RS"/>
        </w:rPr>
        <w:t xml:space="preserve">(Усвојено на седници Председништва АИНС 21.02.2019. </w:t>
      </w:r>
    </w:p>
    <w:p w:rsidR="0041322D" w:rsidRDefault="0041322D" w:rsidP="0041322D">
      <w:pPr>
        <w:spacing w:after="0" w:line="240" w:lineRule="auto"/>
        <w:jc w:val="center"/>
        <w:rPr>
          <w:b/>
          <w:lang w:val="sr-Cyrl-RS"/>
        </w:rPr>
      </w:pPr>
      <w:r w:rsidRPr="0041322D">
        <w:rPr>
          <w:b/>
          <w:lang w:val="sr-Cyrl-RS"/>
        </w:rPr>
        <w:t>по предлогу Међуодељенског одбора за заштиту животне средине - МОЖС)</w:t>
      </w:r>
    </w:p>
    <w:p w:rsidR="0041322D" w:rsidRPr="0041322D" w:rsidRDefault="0041322D" w:rsidP="0041322D">
      <w:pPr>
        <w:spacing w:after="0" w:line="240" w:lineRule="auto"/>
        <w:jc w:val="center"/>
        <w:rPr>
          <w:b/>
          <w:lang w:val="sr-Cyrl-RS"/>
        </w:rPr>
      </w:pPr>
    </w:p>
    <w:p w:rsidR="007C5BA1" w:rsidRPr="0041322D" w:rsidRDefault="007C5BA1" w:rsidP="0041322D">
      <w:pPr>
        <w:spacing w:after="0" w:line="240" w:lineRule="auto"/>
        <w:jc w:val="center"/>
        <w:rPr>
          <w:lang w:val="sr-Latn-RS"/>
        </w:rPr>
      </w:pPr>
    </w:p>
    <w:p w:rsidR="0091407F" w:rsidRPr="00A17E68" w:rsidRDefault="003E6D16" w:rsidP="00912FF8">
      <w:pPr>
        <w:spacing w:line="240" w:lineRule="auto"/>
        <w:jc w:val="both"/>
        <w:rPr>
          <w:b/>
          <w:lang w:val="sr-Latn-RS"/>
        </w:rPr>
      </w:pPr>
      <w:r w:rsidRPr="00A17E68">
        <w:rPr>
          <w:b/>
          <w:lang w:val="sr-Latn-RS"/>
        </w:rPr>
        <w:t>У вези са заштитом животне средине</w:t>
      </w:r>
      <w:r w:rsidR="0091407F" w:rsidRPr="00A17E68">
        <w:rPr>
          <w:b/>
          <w:lang w:val="sr-Latn-RS"/>
        </w:rPr>
        <w:t>,</w:t>
      </w:r>
      <w:r w:rsidRPr="00A17E68">
        <w:rPr>
          <w:b/>
          <w:lang w:val="sr-Latn-RS"/>
        </w:rPr>
        <w:t xml:space="preserve"> нео</w:t>
      </w:r>
      <w:r w:rsidR="00A16376" w:rsidRPr="00A17E68">
        <w:rPr>
          <w:b/>
          <w:lang w:val="sr-Latn-RS"/>
        </w:rPr>
        <w:t>п</w:t>
      </w:r>
      <w:r w:rsidRPr="00A17E68">
        <w:rPr>
          <w:b/>
          <w:lang w:val="sr-Latn-RS"/>
        </w:rPr>
        <w:t xml:space="preserve">ходно је </w:t>
      </w:r>
      <w:r w:rsidR="0091407F" w:rsidRPr="00A17E68">
        <w:rPr>
          <w:b/>
          <w:lang w:val="sr-Latn-RS"/>
        </w:rPr>
        <w:t>преиспитати постојећа и разрадити нова решења у области затварања историјских депонија у регулативи Републике Србије.</w:t>
      </w:r>
    </w:p>
    <w:p w:rsidR="0091407F" w:rsidRPr="00A17E68" w:rsidRDefault="0091407F" w:rsidP="00912FF8">
      <w:pPr>
        <w:spacing w:line="240" w:lineRule="auto"/>
        <w:jc w:val="both"/>
        <w:rPr>
          <w:b/>
          <w:lang w:val="sr-Latn-RS"/>
        </w:rPr>
      </w:pPr>
    </w:p>
    <w:p w:rsidR="003E6D16" w:rsidRPr="00A17E68" w:rsidRDefault="003E6D16" w:rsidP="00912FF8">
      <w:pPr>
        <w:spacing w:line="240" w:lineRule="auto"/>
        <w:jc w:val="both"/>
        <w:rPr>
          <w:lang w:val="sr-Latn-RS"/>
        </w:rPr>
      </w:pPr>
      <w:r w:rsidRPr="00A17E68">
        <w:rPr>
          <w:lang w:val="sr-Latn-RS"/>
        </w:rPr>
        <w:t>Образложење:</w:t>
      </w:r>
    </w:p>
    <w:p w:rsidR="00ED4107" w:rsidRPr="00ED4107" w:rsidRDefault="00ED4107" w:rsidP="00912FF8">
      <w:pPr>
        <w:spacing w:before="240" w:line="240" w:lineRule="auto"/>
        <w:jc w:val="both"/>
        <w:rPr>
          <w:szCs w:val="24"/>
          <w:lang w:val="sr-Latn-RS"/>
        </w:rPr>
      </w:pPr>
      <w:r w:rsidRPr="00ED4107">
        <w:rPr>
          <w:szCs w:val="24"/>
          <w:lang w:val="sr-Latn-RS"/>
        </w:rPr>
        <w:t>У хијерархији управљања отпадом, депоновање се класификује као најмање пожељна, ипак неизбежна категорија. Процењује се да се у Србији, од укупне количине отпада, рециклира мање од 5%, док се сав остали отпад депонује. У нашој земљи је идентификовано 3500 сметлишта, тзв. „историјских депонија“, од којих су нека легална, док већина нису. Национална стратегија управљања отпадом предвиђа концентисање одлагања отпада на далеко мањем броју депонија, уз изградњу до тридесет регионалних депонија. За преостала легална и дивља сметлшта, предвиђено је затварање.</w:t>
      </w:r>
    </w:p>
    <w:p w:rsidR="00ED4107" w:rsidRDefault="00ED4107" w:rsidP="00912FF8">
      <w:pPr>
        <w:spacing w:before="240" w:line="240" w:lineRule="auto"/>
        <w:jc w:val="both"/>
        <w:rPr>
          <w:szCs w:val="24"/>
          <w:lang w:val="sr-Latn-RS"/>
        </w:rPr>
      </w:pPr>
      <w:r w:rsidRPr="00ED4107">
        <w:rPr>
          <w:szCs w:val="24"/>
          <w:lang w:val="sr-Latn-RS"/>
        </w:rPr>
        <w:t xml:space="preserve">1999. године У Европској Унији је донета Директива </w:t>
      </w:r>
      <w:r w:rsidRPr="00A17E68">
        <w:rPr>
          <w:szCs w:val="24"/>
          <w:lang w:val="sr-Latn-RS"/>
        </w:rPr>
        <w:t xml:space="preserve">99/31/EC </w:t>
      </w:r>
      <w:r w:rsidRPr="00ED4107">
        <w:rPr>
          <w:szCs w:val="24"/>
          <w:lang w:val="sr-Latn-RS"/>
        </w:rPr>
        <w:t xml:space="preserve">о депонијама отпада (енгл. </w:t>
      </w:r>
      <w:r w:rsidRPr="00A17E68">
        <w:rPr>
          <w:rStyle w:val="Emphasis"/>
          <w:szCs w:val="24"/>
          <w:lang w:val="sr-Latn-RS"/>
        </w:rPr>
        <w:t>Directive on the landfill of waste</w:t>
      </w:r>
      <w:r w:rsidRPr="00ED4107">
        <w:rPr>
          <w:szCs w:val="24"/>
          <w:lang w:val="sr-Latn-RS"/>
        </w:rPr>
        <w:t>, у даљем тексту Директива), која дефинише основе најбољих доступних техника (</w:t>
      </w:r>
      <w:r>
        <w:rPr>
          <w:szCs w:val="24"/>
          <w:lang w:val="sr-Latn-RS"/>
        </w:rPr>
        <w:t>BAT</w:t>
      </w:r>
      <w:r w:rsidR="00D913DE">
        <w:rPr>
          <w:szCs w:val="24"/>
          <w:lang w:val="sr-Latn-RS"/>
        </w:rPr>
        <w:t>) у предме</w:t>
      </w:r>
      <w:r w:rsidRPr="00ED4107">
        <w:rPr>
          <w:szCs w:val="24"/>
          <w:lang w:val="sr-Latn-RS"/>
        </w:rPr>
        <w:t>тној области, са обавезујућом применом. Земље чланице ЕУ, као и земље кандидати, у обавези су да, у потпуности, примене елементе из директива у своје регулативе. Директива о депонијама у регулативу Републике Србије уврштена је Уредбом о одлагању отпада на депоније 2010. године (у даљем тексту Уредба).</w:t>
      </w:r>
    </w:p>
    <w:p w:rsidR="00ED4107" w:rsidRPr="00ED4107" w:rsidRDefault="00ED4107" w:rsidP="00912FF8">
      <w:pPr>
        <w:spacing w:line="240" w:lineRule="auto"/>
        <w:jc w:val="both"/>
        <w:rPr>
          <w:rFonts w:eastAsia="Kozuka Gothic Pro L"/>
          <w:szCs w:val="24"/>
          <w:lang w:val="sr-Latn-RS"/>
        </w:rPr>
      </w:pPr>
      <w:r w:rsidRPr="00ED4107">
        <w:rPr>
          <w:rFonts w:eastAsia="Kozuka Gothic Pro L"/>
          <w:szCs w:val="24"/>
          <w:lang w:val="sr-Latn-RS"/>
        </w:rPr>
        <w:t>Депоније су индустријски објекти чија изградња се изводи у складу са Законом о планирању и изградњи (ЗПИ). Након достизања пуног капацитета, депонија се затвара уз одговарајућу техничку документацију. ЗПИ дефинише затварање индустријских објеката, у које спадају и историјске депоније. Техничка документација затварања депоније требало би да се заснива на  одговарајућим елементима БАТ и да дефинише операције накнадног одржавања објекта после затварања. Имајући у виду потребу ваљаног затварања врло великог броја постојећих историјских депонија у Србији, може се оценити да проблематика пројектовања затварања депонија има врло велики значај. Затварање сметлишта је у самом врху проблема које Србија мора да реши у процесу приступања ЕУ (у складу са захтевима из преговарачког поглавља 27 које се односи на заштиту животне средине).</w:t>
      </w:r>
    </w:p>
    <w:p w:rsidR="00ED4107" w:rsidRDefault="00ED4107" w:rsidP="00912FF8">
      <w:pPr>
        <w:spacing w:line="240" w:lineRule="auto"/>
        <w:jc w:val="both"/>
        <w:rPr>
          <w:rFonts w:eastAsia="Kozuka Gothic Pro L"/>
          <w:szCs w:val="24"/>
          <w:lang w:val="sr-Latn-RS"/>
        </w:rPr>
      </w:pPr>
      <w:r w:rsidRPr="00ED4107">
        <w:rPr>
          <w:rFonts w:eastAsia="Kozuka Gothic Pro L"/>
          <w:szCs w:val="24"/>
          <w:lang w:val="sr-Latn-RS"/>
        </w:rPr>
        <w:t xml:space="preserve">Пет година након доношења Уредбе, 2015. године донет је Правилник о методологији за израду пројеката санације и ремедијације (у даљем тексту ПСР) којим се прописује методологија за израду пројеката затварања историјских депонија. У врло кратком тексту ПСР од 5 чланова, пропраћеног методологијом у прилогу, дефинисано је да се, поред </w:t>
      </w:r>
      <w:r w:rsidRPr="00ED4107">
        <w:rPr>
          <w:rFonts w:eastAsia="Kozuka Gothic Pro L"/>
          <w:szCs w:val="24"/>
          <w:lang w:val="sr-Latn-RS"/>
        </w:rPr>
        <w:lastRenderedPageBreak/>
        <w:t>дивљих депонија и сметлишта, он односи и на индустријска одлагалишта отпада на локалитетима на коме је потврђено присуство опасних и штетних материја узроковано људском активношћу, у концентрацијама које могу изазвати значајан ризик по људско здравље и животну средину, те да се не односи на експлоатацију минералних сировина, напуштене руднике и рударске објекте.</w:t>
      </w:r>
    </w:p>
    <w:p w:rsidR="002D505A" w:rsidRPr="002D505A" w:rsidRDefault="002D505A" w:rsidP="00912FF8">
      <w:pPr>
        <w:spacing w:line="240" w:lineRule="auto"/>
        <w:jc w:val="both"/>
        <w:rPr>
          <w:szCs w:val="24"/>
          <w:lang w:val="sr-Latn-RS"/>
        </w:rPr>
      </w:pPr>
      <w:r w:rsidRPr="002D505A">
        <w:rPr>
          <w:szCs w:val="24"/>
          <w:lang w:val="sr-Latn-RS"/>
        </w:rPr>
        <w:t>Примена методологије за израду пројеката санације и ремедијације из ПСР укида поштовање хијерархијски надређене Уредбе, а самим тим и доследну примену Директиве. За ПСР не важе одредбе Закона о процени утицаја на животну средину и његових подзаконских аката</w:t>
      </w:r>
      <w:r w:rsidR="00D913DE">
        <w:rPr>
          <w:szCs w:val="24"/>
          <w:lang w:val="sr-Latn-RS"/>
        </w:rPr>
        <w:t>, односно ПСР искљу</w:t>
      </w:r>
      <w:r w:rsidRPr="002D505A">
        <w:rPr>
          <w:szCs w:val="24"/>
          <w:lang w:val="sr-Latn-RS"/>
        </w:rPr>
        <w:t>чује потребу израде студија о процени утицаја на животну средину.</w:t>
      </w:r>
    </w:p>
    <w:p w:rsidR="002D505A" w:rsidRPr="002D505A" w:rsidRDefault="002D505A" w:rsidP="00912FF8">
      <w:pPr>
        <w:spacing w:line="240" w:lineRule="auto"/>
        <w:jc w:val="both"/>
        <w:rPr>
          <w:szCs w:val="24"/>
          <w:lang w:val="sr-Latn-RS"/>
        </w:rPr>
      </w:pPr>
      <w:r w:rsidRPr="002D505A">
        <w:rPr>
          <w:szCs w:val="24"/>
          <w:lang w:val="sr-Latn-RS"/>
        </w:rPr>
        <w:t>ПСР уводи могућност да се историјске депоније - комунална сметлишта – неадекватно, у супротности са Директивом и Уредбом, затворе те наставе да загађују водне ресурсе и тл</w:t>
      </w:r>
      <w:r w:rsidR="00E53036">
        <w:rPr>
          <w:szCs w:val="24"/>
          <w:lang w:val="sr-Latn-RS"/>
        </w:rPr>
        <w:t>о. Поглавље II</w:t>
      </w:r>
      <w:r w:rsidRPr="002D505A">
        <w:rPr>
          <w:szCs w:val="24"/>
          <w:lang w:val="sr-Latn-RS"/>
        </w:rPr>
        <w:t xml:space="preserve"> прилога методологије ПСР дефинише да се: а) несанитарне депоније - сметлишта која се коначно затварају прекривају инертним материјалом - минимално 30 </w:t>
      </w:r>
      <w:r w:rsidR="00E53036">
        <w:rPr>
          <w:szCs w:val="24"/>
          <w:lang w:val="sr-Latn-RS"/>
        </w:rPr>
        <w:t>cm</w:t>
      </w:r>
      <w:r w:rsidRPr="002D505A">
        <w:rPr>
          <w:szCs w:val="24"/>
          <w:lang w:val="sr-Latn-RS"/>
        </w:rPr>
        <w:t xml:space="preserve">, дренажним слојем шљунка минимално 20 </w:t>
      </w:r>
      <w:r w:rsidR="00E53036">
        <w:rPr>
          <w:szCs w:val="24"/>
          <w:lang w:val="sr-Latn-RS"/>
        </w:rPr>
        <w:t>cm</w:t>
      </w:r>
      <w:r w:rsidRPr="002D505A">
        <w:rPr>
          <w:szCs w:val="24"/>
          <w:lang w:val="sr-Latn-RS"/>
        </w:rPr>
        <w:t xml:space="preserve"> и земљом и хумусом (30 + 20 </w:t>
      </w:r>
      <w:r w:rsidR="00E53036">
        <w:rPr>
          <w:szCs w:val="24"/>
          <w:lang w:val="sr-Latn-RS"/>
        </w:rPr>
        <w:t>cm</w:t>
      </w:r>
      <w:r w:rsidRPr="002D505A">
        <w:rPr>
          <w:szCs w:val="24"/>
          <w:lang w:val="sr-Latn-RS"/>
        </w:rPr>
        <w:t xml:space="preserve">); и б) несанитарне депоније - сметлишта, која ће се користити до три године постепено-фазно затварају и прекривају са 30 </w:t>
      </w:r>
      <w:r w:rsidR="00E53036">
        <w:rPr>
          <w:szCs w:val="24"/>
          <w:lang w:val="sr-Latn-RS"/>
        </w:rPr>
        <w:t>cm</w:t>
      </w:r>
      <w:r w:rsidRPr="002D505A">
        <w:rPr>
          <w:szCs w:val="24"/>
          <w:lang w:val="sr-Latn-RS"/>
        </w:rPr>
        <w:t xml:space="preserve"> инертног материјала, 20 </w:t>
      </w:r>
      <w:r w:rsidR="00E53036">
        <w:rPr>
          <w:szCs w:val="24"/>
          <w:lang w:val="sr-Latn-RS"/>
        </w:rPr>
        <w:t>cm</w:t>
      </w:r>
      <w:r w:rsidRPr="002D505A">
        <w:rPr>
          <w:szCs w:val="24"/>
          <w:lang w:val="sr-Latn-RS"/>
        </w:rPr>
        <w:t xml:space="preserve"> шљунка и 50 </w:t>
      </w:r>
      <w:r w:rsidR="00E53036">
        <w:rPr>
          <w:szCs w:val="24"/>
          <w:lang w:val="sr-Latn-RS"/>
        </w:rPr>
        <w:t>cm</w:t>
      </w:r>
      <w:r w:rsidRPr="002D505A">
        <w:rPr>
          <w:szCs w:val="24"/>
          <w:lang w:val="sr-Latn-RS"/>
        </w:rPr>
        <w:t xml:space="preserve"> за рекултивацију (30 + 20 </w:t>
      </w:r>
      <w:r w:rsidR="00E53036">
        <w:rPr>
          <w:szCs w:val="24"/>
          <w:lang w:val="sr-Latn-RS"/>
        </w:rPr>
        <w:t>cm</w:t>
      </w:r>
      <w:r w:rsidRPr="002D505A">
        <w:rPr>
          <w:szCs w:val="24"/>
          <w:lang w:val="sr-Latn-RS"/>
        </w:rPr>
        <w:t>). Поменута технологија затварања је водопропусна, те ће процедне воде одлагалишта наставити да загађују подземне водотокове и тло. Прописана технологија је у супротности са захтевима непропусности из Директиве и Уредбе.</w:t>
      </w:r>
    </w:p>
    <w:p w:rsidR="000838DD" w:rsidRDefault="002D505A" w:rsidP="00912FF8">
      <w:pPr>
        <w:spacing w:line="240" w:lineRule="auto"/>
        <w:jc w:val="both"/>
        <w:rPr>
          <w:szCs w:val="24"/>
          <w:lang w:val="sr-Latn-RS"/>
        </w:rPr>
      </w:pPr>
      <w:r w:rsidRPr="002D505A">
        <w:rPr>
          <w:szCs w:val="24"/>
          <w:lang w:val="sr-Latn-RS"/>
        </w:rPr>
        <w:t>Предлаже се преиспитивање ПСР уз разматрање његовог укидања. Предлажу се мање допуне текста Уредбе и затим формулисање подзаконских аката којим би се разрадиле БАТ затварања депонија, посебно значајно историјских депонија</w:t>
      </w:r>
      <w:r w:rsidR="0084089D">
        <w:rPr>
          <w:szCs w:val="24"/>
          <w:lang w:val="sr-Latn-RS"/>
        </w:rPr>
        <w:t xml:space="preserve">, </w:t>
      </w:r>
      <w:r w:rsidR="0084089D">
        <w:rPr>
          <w:szCs w:val="24"/>
          <w:lang w:val="sr-Cyrl-RS"/>
        </w:rPr>
        <w:t xml:space="preserve">уз </w:t>
      </w:r>
      <w:r w:rsidRPr="002D505A">
        <w:rPr>
          <w:szCs w:val="24"/>
          <w:lang w:val="sr-Latn-RS"/>
        </w:rPr>
        <w:t>стриктно поштовање Закона о планирању и изградњи и Закона о процени утицаја на животну средину.</w:t>
      </w:r>
    </w:p>
    <w:sectPr w:rsidR="000838D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0D3" w:rsidRDefault="00A150D3" w:rsidP="00ED32F0">
      <w:pPr>
        <w:spacing w:after="0" w:line="240" w:lineRule="auto"/>
      </w:pPr>
      <w:r>
        <w:separator/>
      </w:r>
    </w:p>
  </w:endnote>
  <w:endnote w:type="continuationSeparator" w:id="0">
    <w:p w:rsidR="00A150D3" w:rsidRDefault="00A150D3" w:rsidP="00ED3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Kozuka Gothic Pro L">
    <w:panose1 w:val="00000000000000000000"/>
    <w:charset w:val="80"/>
    <w:family w:val="swiss"/>
    <w:notTrueType/>
    <w:pitch w:val="variable"/>
    <w:sig w:usb0="00000203" w:usb1="08070000" w:usb2="00000010" w:usb3="00000000" w:csb0="00020005"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063292"/>
      <w:docPartObj>
        <w:docPartGallery w:val="Page Numbers (Bottom of Page)"/>
        <w:docPartUnique/>
      </w:docPartObj>
    </w:sdtPr>
    <w:sdtEndPr>
      <w:rPr>
        <w:noProof/>
      </w:rPr>
    </w:sdtEndPr>
    <w:sdtContent>
      <w:p w:rsidR="0041322D" w:rsidRDefault="0041322D">
        <w:pPr>
          <w:pStyle w:val="Footer"/>
          <w:jc w:val="center"/>
        </w:pPr>
        <w:r>
          <w:fldChar w:fldCharType="begin"/>
        </w:r>
        <w:r>
          <w:instrText xml:space="preserve"> PAGE   \* MERGEFORMAT </w:instrText>
        </w:r>
        <w:r>
          <w:fldChar w:fldCharType="separate"/>
        </w:r>
        <w:r w:rsidR="00A150D3">
          <w:rPr>
            <w:noProof/>
          </w:rPr>
          <w:t>1</w:t>
        </w:r>
        <w:r>
          <w:rPr>
            <w:noProof/>
          </w:rPr>
          <w:fldChar w:fldCharType="end"/>
        </w:r>
      </w:p>
    </w:sdtContent>
  </w:sdt>
  <w:p w:rsidR="00ED32F0" w:rsidRDefault="00ED32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0D3" w:rsidRDefault="00A150D3" w:rsidP="00ED32F0">
      <w:pPr>
        <w:spacing w:after="0" w:line="240" w:lineRule="auto"/>
      </w:pPr>
      <w:r>
        <w:separator/>
      </w:r>
    </w:p>
  </w:footnote>
  <w:footnote w:type="continuationSeparator" w:id="0">
    <w:p w:rsidR="00A150D3" w:rsidRDefault="00A150D3" w:rsidP="00ED32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1512E0"/>
    <w:multiLevelType w:val="hybridMultilevel"/>
    <w:tmpl w:val="86A8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DB12B4"/>
    <w:multiLevelType w:val="hybridMultilevel"/>
    <w:tmpl w:val="0782616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6D3"/>
    <w:rsid w:val="000019DC"/>
    <w:rsid w:val="00021836"/>
    <w:rsid w:val="00044F39"/>
    <w:rsid w:val="00063609"/>
    <w:rsid w:val="000838DD"/>
    <w:rsid w:val="00165AF6"/>
    <w:rsid w:val="001F04B8"/>
    <w:rsid w:val="00201044"/>
    <w:rsid w:val="00244FB4"/>
    <w:rsid w:val="00246C8E"/>
    <w:rsid w:val="0026103C"/>
    <w:rsid w:val="002D505A"/>
    <w:rsid w:val="00324AF1"/>
    <w:rsid w:val="00327BC4"/>
    <w:rsid w:val="0039349A"/>
    <w:rsid w:val="003B133A"/>
    <w:rsid w:val="003C3628"/>
    <w:rsid w:val="003E26D3"/>
    <w:rsid w:val="003E6D16"/>
    <w:rsid w:val="0041322D"/>
    <w:rsid w:val="00416FF3"/>
    <w:rsid w:val="00422C5B"/>
    <w:rsid w:val="00443E78"/>
    <w:rsid w:val="005058AB"/>
    <w:rsid w:val="00520AC6"/>
    <w:rsid w:val="0052551B"/>
    <w:rsid w:val="00527DC6"/>
    <w:rsid w:val="00584054"/>
    <w:rsid w:val="005B7795"/>
    <w:rsid w:val="005B7F56"/>
    <w:rsid w:val="005D28C2"/>
    <w:rsid w:val="006B2F1A"/>
    <w:rsid w:val="007B3C61"/>
    <w:rsid w:val="007C5BA1"/>
    <w:rsid w:val="007F4CDA"/>
    <w:rsid w:val="00801105"/>
    <w:rsid w:val="00821F70"/>
    <w:rsid w:val="0084089D"/>
    <w:rsid w:val="00874305"/>
    <w:rsid w:val="008D03CA"/>
    <w:rsid w:val="00902BF1"/>
    <w:rsid w:val="009049CD"/>
    <w:rsid w:val="00912FF8"/>
    <w:rsid w:val="0091407F"/>
    <w:rsid w:val="009B175F"/>
    <w:rsid w:val="009C2D6E"/>
    <w:rsid w:val="009D1688"/>
    <w:rsid w:val="00A150D3"/>
    <w:rsid w:val="00A16376"/>
    <w:rsid w:val="00A17E68"/>
    <w:rsid w:val="00A340F0"/>
    <w:rsid w:val="00AD4634"/>
    <w:rsid w:val="00B354AF"/>
    <w:rsid w:val="00B7142D"/>
    <w:rsid w:val="00B804D3"/>
    <w:rsid w:val="00BB2E5E"/>
    <w:rsid w:val="00CD2711"/>
    <w:rsid w:val="00D144A8"/>
    <w:rsid w:val="00D913DE"/>
    <w:rsid w:val="00E24F34"/>
    <w:rsid w:val="00E346A9"/>
    <w:rsid w:val="00E41107"/>
    <w:rsid w:val="00E41B40"/>
    <w:rsid w:val="00E53036"/>
    <w:rsid w:val="00EB2D16"/>
    <w:rsid w:val="00EB51D0"/>
    <w:rsid w:val="00ED32F0"/>
    <w:rsid w:val="00ED4107"/>
    <w:rsid w:val="00F24668"/>
    <w:rsid w:val="00F813BE"/>
    <w:rsid w:val="00F93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4D3730-3EB0-4C8E-A463-02473E89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6D3"/>
    <w:pPr>
      <w:spacing w:after="200" w:line="276" w:lineRule="auto"/>
    </w:pPr>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D16"/>
    <w:pPr>
      <w:ind w:left="720"/>
      <w:contextualSpacing/>
    </w:pPr>
  </w:style>
  <w:style w:type="paragraph" w:styleId="Header">
    <w:name w:val="header"/>
    <w:basedOn w:val="Normal"/>
    <w:link w:val="HeaderChar"/>
    <w:uiPriority w:val="99"/>
    <w:unhideWhenUsed/>
    <w:rsid w:val="00ED3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2F0"/>
    <w:rPr>
      <w:rFonts w:ascii="Times New Roman" w:hAnsi="Times New Roman" w:cs="Times New Roman"/>
      <w:sz w:val="24"/>
    </w:rPr>
  </w:style>
  <w:style w:type="paragraph" w:styleId="Footer">
    <w:name w:val="footer"/>
    <w:basedOn w:val="Normal"/>
    <w:link w:val="FooterChar"/>
    <w:uiPriority w:val="99"/>
    <w:unhideWhenUsed/>
    <w:rsid w:val="00ED3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2F0"/>
    <w:rPr>
      <w:rFonts w:ascii="Times New Roman" w:hAnsi="Times New Roman" w:cs="Times New Roman"/>
      <w:sz w:val="24"/>
    </w:rPr>
  </w:style>
  <w:style w:type="character" w:styleId="Emphasis">
    <w:name w:val="Emphasis"/>
    <w:qFormat/>
    <w:rsid w:val="00063609"/>
    <w:rPr>
      <w:i/>
      <w:iCs/>
    </w:rPr>
  </w:style>
  <w:style w:type="paragraph" w:styleId="BalloonText">
    <w:name w:val="Balloon Text"/>
    <w:basedOn w:val="Normal"/>
    <w:link w:val="BalloonTextChar"/>
    <w:uiPriority w:val="99"/>
    <w:semiHidden/>
    <w:unhideWhenUsed/>
    <w:rsid w:val="004132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94368">
      <w:bodyDiv w:val="1"/>
      <w:marLeft w:val="0"/>
      <w:marRight w:val="0"/>
      <w:marTop w:val="0"/>
      <w:marBottom w:val="0"/>
      <w:divBdr>
        <w:top w:val="none" w:sz="0" w:space="0" w:color="auto"/>
        <w:left w:val="none" w:sz="0" w:space="0" w:color="auto"/>
        <w:bottom w:val="none" w:sz="0" w:space="0" w:color="auto"/>
        <w:right w:val="none" w:sz="0" w:space="0" w:color="auto"/>
      </w:divBdr>
      <w:divsChild>
        <w:div w:id="893857753">
          <w:marLeft w:val="0"/>
          <w:marRight w:val="0"/>
          <w:marTop w:val="0"/>
          <w:marBottom w:val="0"/>
          <w:divBdr>
            <w:top w:val="none" w:sz="0" w:space="0" w:color="auto"/>
            <w:left w:val="none" w:sz="0" w:space="0" w:color="auto"/>
            <w:bottom w:val="none" w:sz="0" w:space="0" w:color="auto"/>
            <w:right w:val="none" w:sz="0" w:space="0" w:color="auto"/>
          </w:divBdr>
        </w:div>
        <w:div w:id="1019969360">
          <w:marLeft w:val="0"/>
          <w:marRight w:val="0"/>
          <w:marTop w:val="0"/>
          <w:marBottom w:val="0"/>
          <w:divBdr>
            <w:top w:val="none" w:sz="0" w:space="0" w:color="auto"/>
            <w:left w:val="none" w:sz="0" w:space="0" w:color="auto"/>
            <w:bottom w:val="none" w:sz="0" w:space="0" w:color="auto"/>
            <w:right w:val="none" w:sz="0" w:space="0" w:color="auto"/>
          </w:divBdr>
        </w:div>
        <w:div w:id="1078526647">
          <w:marLeft w:val="0"/>
          <w:marRight w:val="0"/>
          <w:marTop w:val="0"/>
          <w:marBottom w:val="0"/>
          <w:divBdr>
            <w:top w:val="none" w:sz="0" w:space="0" w:color="auto"/>
            <w:left w:val="none" w:sz="0" w:space="0" w:color="auto"/>
            <w:bottom w:val="none" w:sz="0" w:space="0" w:color="auto"/>
            <w:right w:val="none" w:sz="0" w:space="0" w:color="auto"/>
          </w:divBdr>
        </w:div>
        <w:div w:id="4814281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 Jovanovic</dc:creator>
  <cp:lastModifiedBy>Mico</cp:lastModifiedBy>
  <cp:revision>2</cp:revision>
  <cp:lastPrinted>2019-03-14T10:46:00Z</cp:lastPrinted>
  <dcterms:created xsi:type="dcterms:W3CDTF">2020-07-17T18:26:00Z</dcterms:created>
  <dcterms:modified xsi:type="dcterms:W3CDTF">2020-07-17T18:26:00Z</dcterms:modified>
</cp:coreProperties>
</file>