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895" w:rsidRDefault="00FE2A55" w:rsidP="00376839">
      <w:bookmarkStart w:id="0" w:name="_GoBack"/>
      <w:bookmarkEnd w:id="0"/>
      <w:r>
        <w:rPr>
          <w:noProof/>
          <w:lang w:val="sr-Latn-RS" w:eastAsia="sr-Latn-RS"/>
        </w:rPr>
        <w:drawing>
          <wp:anchor distT="0" distB="0" distL="114300" distR="114300" simplePos="0" relativeHeight="251658240" behindDoc="0" locked="0" layoutInCell="1" allowOverlap="1">
            <wp:simplePos x="0" y="0"/>
            <wp:positionH relativeFrom="margin">
              <wp:posOffset>41275</wp:posOffset>
            </wp:positionH>
            <wp:positionV relativeFrom="margin">
              <wp:posOffset>0</wp:posOffset>
            </wp:positionV>
            <wp:extent cx="1076325" cy="1423670"/>
            <wp:effectExtent l="0" t="0" r="9525" b="5080"/>
            <wp:wrapSquare wrapText="bothSides"/>
            <wp:docPr id="2" name="Picture 1" descr="Du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ko"/>
                    <pic:cNvPicPr>
                      <a:picLocks noChangeAspect="1" noChangeArrowheads="1"/>
                    </pic:cNvPicPr>
                  </pic:nvPicPr>
                  <pic:blipFill>
                    <a:blip r:embed="rId5">
                      <a:extLst>
                        <a:ext uri="{28A0092B-C50C-407E-A947-70E740481C1C}">
                          <a14:useLocalDpi xmlns:a14="http://schemas.microsoft.com/office/drawing/2010/main" val="0"/>
                        </a:ext>
                      </a:extLst>
                    </a:blip>
                    <a:srcRect b="11316"/>
                    <a:stretch>
                      <a:fillRect/>
                    </a:stretch>
                  </pic:blipFill>
                  <pic:spPr bwMode="auto">
                    <a:xfrm>
                      <a:off x="0" y="0"/>
                      <a:ext cx="1076325" cy="1423670"/>
                    </a:xfrm>
                    <a:prstGeom prst="rect">
                      <a:avLst/>
                    </a:prstGeom>
                    <a:noFill/>
                  </pic:spPr>
                </pic:pic>
              </a:graphicData>
            </a:graphic>
            <wp14:sizeRelH relativeFrom="page">
              <wp14:pctWidth>0</wp14:pctWidth>
            </wp14:sizeRelH>
            <wp14:sizeRelV relativeFrom="page">
              <wp14:pctHeight>0</wp14:pctHeight>
            </wp14:sizeRelV>
          </wp:anchor>
        </w:drawing>
      </w:r>
      <w:r w:rsidR="00104895" w:rsidRPr="00376839">
        <w:rPr>
          <w:b/>
        </w:rPr>
        <w:t>САЛАТИЋ ДУШАН</w:t>
      </w:r>
      <w:r w:rsidR="00104895">
        <w:t>, редовни члан АИНС од 2000. године, истакнути универзитетски професор и научник у области припреме минералних сировина, рођен је у Новој Црвенки, Војводина, 3. марта 1929. од оца Владимира и мајке Анђе, рођене Лазић. По националности је Србин, ожењен је Слободанком, рођеном Чоловић и има два сина (Синиша 1959, пробни пилот и Владимир 1965, дипл. рударски инжењер). Гимназију је завршио у Сомбору 1948. После три године рада у фабрици шећера у Црвенки уписао се на Рударско-геолошки факултет у Београду и дипломирао 1957. На истом факултету докторирао је 1965. из научне области флотабилности минерала у функцији наелектрисања њихових површина. Постдокторске студије завршио је на Faculté Polytechnique de Mons у Белгији 1969/70.</w:t>
      </w:r>
    </w:p>
    <w:p w:rsidR="00104895" w:rsidRDefault="00104895" w:rsidP="00376839">
      <w:r>
        <w:t>По дипломирању 1957., ради у Руднику угља Зеница, а од 1959. у Институту за технологију нуклеарних и других минералних сировина у Београду и од 1966, када је изабран за асистента, до октобра 1994. на Рударско-геолошком факултету (РГФ) у Београду, када је пензионисан у звању редовног професора. На РГФ обављао је дужности шефа Катедре, шефа Смера, руководиоца Рударског одсека, продекана и декана РГФ и председника Савета РГФ, као и члана Савета Универзитета у Београду.</w:t>
      </w:r>
    </w:p>
    <w:p w:rsidR="00104895" w:rsidRDefault="00104895" w:rsidP="00376839">
      <w:r>
        <w:t>Низ година био је секретар или председник Југословенског комитета за припрему минералних сировина (ПМС). Од 1973. је члан-оснивач Балканског научног комитета за ПМС. У Белгији је 1980. изабран за иностраног члана l'Academie Royale des Sciences d'Outre-Mer, а 1985. за члана Comité Directeur de Мinéralurgie Français у Парiзу. На Другом Cветском конгресу за неметаличне минералне сировине у Пекингу, 1989, изабран је за председника World Scientific Committee for Non-Metallic Minerals. У Истанбулу 2000. изабран је за редовног члана-оснивача Balkan Academy of Sciences for Mineral Technologies, а 2001. у Санкт Петербургу изабран је за Honorable Academician of the International Academy of Ecology, Man and Nature Protection Sciences.</w:t>
      </w:r>
    </w:p>
    <w:p w:rsidR="00104895" w:rsidRDefault="00104895" w:rsidP="00376839">
      <w:r>
        <w:t>Проф. Салатић је у Београду организовао Трећи (1980) и Осми (1999) Балкански конгрес о припреми минералних сировина и Први Светски конгрес о неметаличним минералним сировинама (1985), све као председник организационог комитета и Други Светски конгрес у Пекингу (Кина) 1989, као ко-председник.</w:t>
      </w:r>
    </w:p>
    <w:p w:rsidR="00104895" w:rsidRDefault="00104895" w:rsidP="00376839">
      <w:r>
        <w:t>Проф. др Д. Салатић је први Србин који је почео да се бави фундаменталним истраживањима збивања на површинама минерала у вишефазном дисперзном систему (минерали-вода-ваздух-реагенси), као што је флотацијска пулпа. Приступ истраживачком раду био му је оригиналан, јер је први у свету за мерење електрокинетичког потенцијала (ЕКП) на минералним површинама применио своју методу мерења електрофоретске покретљивости минералних честица субмикронске величине. Посебан значај има његов доказ да крупноћа минералних зрна не утиче на промену ЕКП површина минерала, чиме је побио раније тврдње. Своја сазнања публиковао је 1967. у Лондону у часопису „Mineral Processing and Extractive Metallurgy” под насловом „Floatability of Monazite and Zircon Related to Electrochemical Changes of their Surfaces”. Ова метода мерења електро кинетичког потенцијала на површинама минерала у флотацијској пулпи је постепено потиснула све друге методе.</w:t>
      </w:r>
    </w:p>
    <w:p w:rsidR="00104895" w:rsidRDefault="00104895" w:rsidP="00376839">
      <w:r>
        <w:t>Проучавањем флотабилности минерала у функцији знака и величине ЕКП, радом на флотирању и лужењу руда бакра, изучавањем процеса уситњавања и класирања минерала, проф. Салатић је дао велики допринос теорији флотирања, с једне стране, а с друге стране успоставио је услове за индустријско флотирање бројних минерала из полиметаличних руда о чему сведочи његових 346 радова објављених у домаћим и страним часописима, или излаганим на домаћим и међународним скуповима. У своја истраживања је као ментор укључивао младе сараднике, кроз израду магистарских теза и докторских дисертација. Значајна је његова књига „Флотацијски реагенси“ као и више научних пројеката, студија и монографија.</w:t>
      </w:r>
    </w:p>
    <w:p w:rsidR="00104895" w:rsidRDefault="00104895" w:rsidP="00376839">
      <w:r>
        <w:t>Посебно треба истаћи да је проф. Салатић од првих дана свог научноистраживачког рада посебну пажњу поклањао заштити радне и животне средине. Прве радове из те области објавио је 1973. године, а укупно 44. Са својим радовима учествовао је на 115 међународних симпозијума, конференција и конгреса, где је излагао и бранио остварене резултате у 126 научних радова, често излаганих као уводни, по позиву организатора скупа.</w:t>
      </w:r>
    </w:p>
    <w:p w:rsidR="00104895" w:rsidRDefault="00104895" w:rsidP="00376839">
      <w:r>
        <w:t xml:space="preserve"> </w:t>
      </w:r>
    </w:p>
    <w:sectPr w:rsidR="00104895" w:rsidSect="00376839">
      <w:type w:val="continuous"/>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D669B0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7605E9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706EAF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5FE81E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4A2DC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1564D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24F3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0D48B4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3CC8F2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9C833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69"/>
    <w:rsid w:val="00104895"/>
    <w:rsid w:val="002075C8"/>
    <w:rsid w:val="00286A0D"/>
    <w:rsid w:val="002D195C"/>
    <w:rsid w:val="00376839"/>
    <w:rsid w:val="0047787C"/>
    <w:rsid w:val="00482C02"/>
    <w:rsid w:val="00693F3D"/>
    <w:rsid w:val="0070594D"/>
    <w:rsid w:val="008B0B3F"/>
    <w:rsid w:val="00A506A0"/>
    <w:rsid w:val="00A56644"/>
    <w:rsid w:val="00A70ACB"/>
    <w:rsid w:val="00B854BD"/>
    <w:rsid w:val="00CA06FB"/>
    <w:rsid w:val="00CB589F"/>
    <w:rsid w:val="00D34950"/>
    <w:rsid w:val="00F00A6A"/>
    <w:rsid w:val="00FA77B5"/>
    <w:rsid w:val="00FB5B69"/>
    <w:rsid w:val="00FE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C1AFC02-9A2A-45EF-BEC4-EF08D495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376839"/>
    <w:pPr>
      <w:spacing w:after="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САЛАТИЋ ДУШАН, редовни члан АИНС од 2000</vt:lpstr>
    </vt:vector>
  </TitlesOfParts>
  <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САЛАТИЋ ДУШАН, редовни члан АИНС од 2000</dc:title>
  <dc:subject/>
  <dc:creator>Rada</dc:creator>
  <cp:keywords/>
  <dc:description/>
  <cp:lastModifiedBy>Mico</cp:lastModifiedBy>
  <cp:revision>2</cp:revision>
  <dcterms:created xsi:type="dcterms:W3CDTF">2020-04-29T15:42:00Z</dcterms:created>
  <dcterms:modified xsi:type="dcterms:W3CDTF">2020-04-29T15:42:00Z</dcterms:modified>
</cp:coreProperties>
</file>