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A1" w:rsidRPr="004922A1" w:rsidRDefault="004922A1" w:rsidP="004922A1">
      <w:pPr>
        <w:spacing w:after="20" w:line="240" w:lineRule="exact"/>
        <w:jc w:val="both"/>
        <w:rPr>
          <w:rFonts w:ascii="Times New Roman" w:hAnsi="Times New Roman" w:cs="Times New Roman"/>
        </w:rPr>
      </w:pPr>
      <w:bookmarkStart w:id="0" w:name="_GoBack"/>
      <w:r w:rsidRPr="004922A1">
        <w:rPr>
          <w:rFonts w:ascii="Times New Roman" w:hAnsi="Times New Roman" w:cs="Times New Roman"/>
          <w:noProof/>
          <w:lang w:eastAsia="sr-Latn-RS"/>
        </w:rPr>
        <w:drawing>
          <wp:anchor distT="0" distB="0" distL="114300" distR="114300" simplePos="0" relativeHeight="251658240" behindDoc="1" locked="0" layoutInCell="1" allowOverlap="1" wp14:anchorId="0191B843" wp14:editId="4E56827C">
            <wp:simplePos x="0" y="0"/>
            <wp:positionH relativeFrom="margin">
              <wp:posOffset>0</wp:posOffset>
            </wp:positionH>
            <wp:positionV relativeFrom="margin">
              <wp:posOffset>69850</wp:posOffset>
            </wp:positionV>
            <wp:extent cx="1047750" cy="1440180"/>
            <wp:effectExtent l="0" t="0" r="0" b="7620"/>
            <wp:wrapSquare wrapText="bothSides"/>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001"/>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0"/>
                              </a14:imgEffect>
                            </a14:imgLayer>
                          </a14:imgProps>
                        </a:ext>
                        <a:ext uri="{28A0092B-C50C-407E-A947-70E740481C1C}">
                          <a14:useLocalDpi xmlns:a14="http://schemas.microsoft.com/office/drawing/2010/main" val="0"/>
                        </a:ext>
                      </a:extLst>
                    </a:blip>
                    <a:srcRect r="5969"/>
                    <a:stretch>
                      <a:fillRect/>
                    </a:stretch>
                  </pic:blipFill>
                  <pic:spPr bwMode="auto">
                    <a:xfrm>
                      <a:off x="0" y="0"/>
                      <a:ext cx="1047750" cy="1440180"/>
                    </a:xfrm>
                    <a:prstGeom prst="rect">
                      <a:avLst/>
                    </a:prstGeom>
                    <a:noFill/>
                  </pic:spPr>
                </pic:pic>
              </a:graphicData>
            </a:graphic>
            <wp14:sizeRelH relativeFrom="page">
              <wp14:pctWidth>0</wp14:pctWidth>
            </wp14:sizeRelH>
            <wp14:sizeRelV relativeFrom="page">
              <wp14:pctHeight>0</wp14:pctHeight>
            </wp14:sizeRelV>
          </wp:anchor>
        </w:drawing>
      </w:r>
      <w:bookmarkStart w:id="1" w:name="_Toc524701735"/>
      <w:bookmarkEnd w:id="0"/>
      <w:r w:rsidRPr="004922A1">
        <w:rPr>
          <w:rStyle w:val="TitleChar"/>
          <w:rFonts w:ascii="Times New Roman" w:hAnsi="Times New Roman" w:cs="Times New Roman"/>
          <w:sz w:val="22"/>
        </w:rPr>
        <w:t>БОРИСЛАВ Б. СТОЈКОВ</w:t>
      </w:r>
      <w:bookmarkEnd w:id="1"/>
      <w:r w:rsidRPr="004922A1">
        <w:rPr>
          <w:rFonts w:ascii="Times New Roman" w:hAnsi="Times New Roman" w:cs="Times New Roman"/>
        </w:rPr>
        <w:t>, редовни члан АИНС од 2007, Редовни професор Географског факултета Универзитета у Београду, рођен је 17. октобра 1941. године у Београду од оца Богдана и мајке Невене, рођ. Бајић. Студије на Архитектонском факултету у Београду завршио 1963. На истом факултету магистрирао 1974. Докторску дисертацију je одбранио 1990. године на Архитек</w:t>
      </w:r>
      <w:r w:rsidRPr="004922A1">
        <w:rPr>
          <w:rFonts w:ascii="Times New Roman" w:hAnsi="Times New Roman" w:cs="Times New Roman"/>
        </w:rPr>
        <w:softHyphen/>
        <w:t>тон</w:t>
      </w:r>
      <w:r w:rsidRPr="004922A1">
        <w:rPr>
          <w:rFonts w:ascii="Times New Roman" w:hAnsi="Times New Roman" w:cs="Times New Roman"/>
        </w:rPr>
        <w:softHyphen/>
        <w:t>ско-урбанистичком факултету у Сарајеву. У првим годинама профе</w:t>
      </w:r>
      <w:r w:rsidRPr="004922A1">
        <w:rPr>
          <w:rFonts w:ascii="Times New Roman" w:hAnsi="Times New Roman" w:cs="Times New Roman"/>
        </w:rPr>
        <w:softHyphen/>
        <w:t>сио</w:t>
      </w:r>
      <w:r w:rsidRPr="004922A1">
        <w:rPr>
          <w:rFonts w:ascii="Times New Roman" w:hAnsi="Times New Roman" w:cs="Times New Roman"/>
        </w:rPr>
        <w:softHyphen/>
        <w:t>нал</w:t>
      </w:r>
      <w:r w:rsidRPr="004922A1">
        <w:rPr>
          <w:rFonts w:ascii="Times New Roman" w:hAnsi="Times New Roman" w:cs="Times New Roman"/>
        </w:rPr>
        <w:softHyphen/>
        <w:t>не праксе обавио стручна усавр</w:t>
      </w:r>
      <w:r w:rsidRPr="004922A1">
        <w:rPr>
          <w:rFonts w:ascii="Times New Roman" w:hAnsi="Times New Roman" w:cs="Times New Roman"/>
        </w:rPr>
        <w:softHyphen/>
        <w:t>шава</w:t>
      </w:r>
      <w:r w:rsidRPr="004922A1">
        <w:rPr>
          <w:rFonts w:ascii="Times New Roman" w:hAnsi="Times New Roman" w:cs="Times New Roman"/>
        </w:rPr>
        <w:softHyphen/>
        <w:t>ња: у Кембриџу-MIT (САД) 1970-71, у Лондону, Единбургу, Глазгову 1974. и Гетеборгу 1975.. После дипломирања радио у ИАУС од 1965-1968, у Урбанистичком заводу Београда од 1968-1972, Заводу за планира</w:t>
      </w:r>
      <w:r w:rsidRPr="004922A1">
        <w:rPr>
          <w:rFonts w:ascii="Times New Roman" w:hAnsi="Times New Roman" w:cs="Times New Roman"/>
        </w:rPr>
        <w:softHyphen/>
        <w:t>ње развоја града Београда од 1972-1981 (као директор сектора за урбанизам), у Инвест-бироу од 1981-89, у „Југославија-публику” од 1988-1989, 1991-1992 помоћник министра за урбанизам Србије, 1992-1993 директор Агенције за смештај избеглица у Србији. и помоћник директора у ИАУС од 1990 до 2000. До пензије (2009) радио као редовни професор на Географском факултету Универзитета у Београду где је био и био управник Института за просторно планирање. Радио и као професор на Грађевинском факул</w:t>
      </w:r>
      <w:r w:rsidRPr="004922A1">
        <w:rPr>
          <w:rFonts w:ascii="Times New Roman" w:hAnsi="Times New Roman" w:cs="Times New Roman"/>
        </w:rPr>
        <w:softHyphen/>
        <w:t>те</w:t>
      </w:r>
      <w:r w:rsidRPr="004922A1">
        <w:rPr>
          <w:rFonts w:ascii="Times New Roman" w:hAnsi="Times New Roman" w:cs="Times New Roman"/>
        </w:rPr>
        <w:softHyphen/>
        <w:t xml:space="preserve">ту у Суботици. </w:t>
      </w:r>
      <w:r w:rsidRPr="004922A1">
        <w:rPr>
          <w:rFonts w:ascii="Times New Roman" w:hAnsi="Times New Roman" w:cs="Times New Roman"/>
          <w:lang w:val="sr-Cyrl-RS"/>
        </w:rPr>
        <w:t>Б</w:t>
      </w:r>
      <w:r w:rsidRPr="004922A1">
        <w:rPr>
          <w:rFonts w:ascii="Times New Roman" w:hAnsi="Times New Roman" w:cs="Times New Roman"/>
        </w:rPr>
        <w:t>ио је председник Већа научних области архитектуре, грађевинарства и географије на Универзитету у Београду од 2007-2009, председник Друштва архитеката Београда (1984-1988), председник Удружења урбаниста Србије (1995-1999), члан савета више институција и издавачких кућа. У иностранству је био ангажован на неколико универзитета: пред</w:t>
      </w:r>
      <w:r w:rsidRPr="004922A1">
        <w:rPr>
          <w:rFonts w:ascii="Times New Roman" w:hAnsi="Times New Roman" w:cs="Times New Roman"/>
        </w:rPr>
        <w:softHyphen/>
        <w:t>седник Научног савета "Academia Danubiana" на Универзитету у Бечу, као и члан Monitoring и Steering Commitee za evropski program INTERREG IIIc са седиштем у Бечу (1999). Био један од 3 координатора мреже 20 научних институција у области просторног планирања из Централне и Источне Европе (Spa-ce.net). Удружење урбаниста Србије доделило му је Велику награду „Емилијан Јосимовић” за животно дело. Добитник је бројних награда на домаћим и међународним конкурсима (7 првих награда) и награда на салонима и изложбама (6 првих награда).</w:t>
      </w:r>
    </w:p>
    <w:p w:rsidR="004922A1" w:rsidRDefault="004922A1" w:rsidP="004922A1">
      <w:pPr>
        <w:spacing w:after="20" w:line="240" w:lineRule="exact"/>
        <w:jc w:val="both"/>
        <w:rPr>
          <w:rFonts w:ascii="Times New Roman" w:hAnsi="Times New Roman" w:cs="Times New Roman"/>
        </w:rPr>
      </w:pPr>
      <w:r w:rsidRPr="004922A1">
        <w:rPr>
          <w:rFonts w:ascii="Times New Roman" w:hAnsi="Times New Roman" w:cs="Times New Roman"/>
        </w:rPr>
        <w:t>Научни и стручни опус обухвата преко 150 научних радова објављних у Србији и иностранству, 34 књиге (аутор или уредник) или поглавља у књигама, преко 120 стручних радова, 18 изложби, преко 100 чланака у стручним и јавним гласилима, учесник бројних научних скупова, оцењивачких комисија и аутор бројних рецензија научних радова. Ментор на 6 доктората у Србији, Немачкој и Аустрији (Мастер) Најважнији стручни радови реализовани у току стручне каријере, као руководилац тима, су: Генерални план Обренов</w:t>
      </w:r>
      <w:r w:rsidRPr="004922A1">
        <w:rPr>
          <w:rFonts w:ascii="Times New Roman" w:hAnsi="Times New Roman" w:cs="Times New Roman"/>
        </w:rPr>
        <w:softHyphen/>
        <w:t>ца (1974 и 1996), Генерални план Приштине (1997), Генерални план Призрена (1998), Регулациони план Јагодине (1995-1996). Руководилац израде: Регионални просторни план Града Београда (2004 pa 2010), Просторни план града Смедерево (2004), Просторни план посебне намене подручја Власина (2004), Генерални урбанистички план Бијељине (2004), Просторни план општине Кладово (2006), Просторни план града Суботица (2007), Стратегија развоја Београда (2008/10.) Стратеги</w:t>
      </w:r>
      <w:r w:rsidRPr="004922A1">
        <w:rPr>
          <w:rFonts w:ascii="Times New Roman" w:hAnsi="Times New Roman" w:cs="Times New Roman"/>
        </w:rPr>
        <w:softHyphen/>
        <w:t>ја развоја и Просторни план Србије (2010), тема просторног развоја за Стратегију развоја Војводине (2011), научни координатор на изради Просторног плана Војводине (2012), руководилац израде Простор</w:t>
      </w:r>
      <w:r w:rsidRPr="004922A1">
        <w:rPr>
          <w:rFonts w:ascii="Times New Roman" w:hAnsi="Times New Roman" w:cs="Times New Roman"/>
        </w:rPr>
        <w:softHyphen/>
        <w:t>ног плана Републике Српске (2014). Од међународних: Strategy for an Integrated Spatial Development of Central and Eastern Europe-Vision Planet (2000), члан радног тима од 15 експерата из Европе; Spatial Planning Priorities and Spatial Integration in Southeast Europe (2000) као један од 6 координатора; пројекат Adriatic, Donau</w:t>
      </w:r>
      <w:r w:rsidRPr="004922A1">
        <w:rPr>
          <w:rFonts w:ascii="Times New Roman" w:hAnsi="Times New Roman" w:cs="Times New Roman"/>
        </w:rPr>
        <w:softHyphen/>
        <w:t xml:space="preserve">katalog и др.; европски пројекат PLANET CENSE са Аустријским институтом за просторно планирање и другим европским институцијама (2006). </w:t>
      </w:r>
    </w:p>
    <w:p w:rsidR="004922A1" w:rsidRPr="004922A1" w:rsidRDefault="004922A1" w:rsidP="004922A1">
      <w:pPr>
        <w:spacing w:after="20" w:line="240" w:lineRule="exact"/>
        <w:jc w:val="both"/>
        <w:rPr>
          <w:rFonts w:ascii="Times New Roman" w:hAnsi="Times New Roman" w:cs="Times New Roman"/>
        </w:rPr>
      </w:pPr>
      <w:r w:rsidRPr="004922A1">
        <w:rPr>
          <w:rFonts w:ascii="Times New Roman" w:hAnsi="Times New Roman" w:cs="Times New Roman"/>
        </w:rPr>
        <w:t>Значајан је рад који је обавио у оквиру научног пројекта „Обнова и реконструкција градова Србије”, руководећи његовом израдом од 1996-2000. године. Као резултат објављено је 7 монографија: Обнова градова Србије - темељне одреднице (1996), Град у променама (1997) и Основе стратегије обнове градова (1998) – две монографије које је уредио и писао у сарадњи са Академијом грађевинских наука Русије, тј. са проф. В. Белоусовим из Москве, књига Урбографија (1998), затим Обнова Приштине (1997) и Урбани развој и обнова Призрена (1998) –као уредник и као аутор основног текста и, најзад, Два града - Панчево и Краснојарск (2000) – монографија коју је припремио као аутор основног научног прилога и уредник у сарадњи са Академијом грађевинских наука Русије. Значајна је монографија Metropolitan Networking in CADSES, 2006. (уредник и аутор), Danubian Planning Issues, 2007. (уредник и аутор). Светски значајна књига European Cities in Transition 2013, 2013 (један од 4 аутора), чланци у књигама објављеним у Пољској академији наука (2013), Европском савету за планирање у Бриселу (2012), Springer ed. У Берлину (2012), Академији наука БиХ (2016(, књига Паметан град у Србији (2016) итд. У оквиру АИНС водио израду Закона о инжењерству (радни нацрт - 2017), предлоге за техничку сарадњу Србије и Казахстана (2016-17), и др.</w:t>
      </w:r>
    </w:p>
    <w:p w:rsidR="004922A1" w:rsidRPr="004922A1" w:rsidRDefault="004922A1" w:rsidP="004922A1">
      <w:pPr>
        <w:spacing w:after="20" w:line="240" w:lineRule="exact"/>
        <w:jc w:val="both"/>
        <w:rPr>
          <w:rFonts w:ascii="Times New Roman" w:hAnsi="Times New Roman" w:cs="Times New Roman"/>
        </w:rPr>
      </w:pPr>
      <w:r w:rsidRPr="004922A1">
        <w:rPr>
          <w:rFonts w:ascii="Times New Roman" w:hAnsi="Times New Roman" w:cs="Times New Roman"/>
        </w:rPr>
        <w:t>Ожењен, има две кћерке и троје унучади. Хоби му је музика и има низ чланака и објављену књигу Музика и филм (2016). Свира клавир. Бави се сликарством.</w:t>
      </w:r>
    </w:p>
    <w:p w:rsidR="004922A1" w:rsidRDefault="004922A1" w:rsidP="004922A1">
      <w:pPr>
        <w:rPr>
          <w:rFonts w:ascii="Arial Narrow" w:hAnsi="Arial Narrow"/>
          <w:sz w:val="19"/>
          <w:szCs w:val="19"/>
        </w:rPr>
      </w:pPr>
      <w:r>
        <w:rPr>
          <w:rFonts w:ascii="Arial Narrow" w:hAnsi="Arial Narrow"/>
          <w:sz w:val="19"/>
          <w:szCs w:val="19"/>
        </w:rPr>
        <w:lastRenderedPageBreak/>
        <w:br w:type="page"/>
      </w:r>
    </w:p>
    <w:p w:rsidR="00FF01F6" w:rsidRDefault="00FF01F6"/>
    <w:sectPr w:rsidR="00FF01F6" w:rsidSect="004922A1">
      <w:pgSz w:w="11906" w:h="16838"/>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A1"/>
    <w:rsid w:val="004922A1"/>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47939-0458-410D-B7DC-3249FCA5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2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4922A1"/>
    <w:rPr>
      <w:rFonts w:ascii="Arial Narrow" w:hAnsi="Arial Narrow"/>
      <w:b/>
      <w:caps/>
      <w:sz w:val="20"/>
    </w:rPr>
  </w:style>
  <w:style w:type="paragraph" w:styleId="Title">
    <w:name w:val="Title"/>
    <w:aliases w:val="AINS Title"/>
    <w:basedOn w:val="Normal"/>
    <w:next w:val="Normal"/>
    <w:link w:val="TitleChar"/>
    <w:uiPriority w:val="10"/>
    <w:qFormat/>
    <w:rsid w:val="004922A1"/>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4922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2020-04-05T08:21:00Z</dcterms:created>
  <dcterms:modified xsi:type="dcterms:W3CDTF">2020-04-05T08:26:00Z</dcterms:modified>
</cp:coreProperties>
</file>